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9B149B" w14:textId="77777777" w:rsidR="00B57AE1" w:rsidRPr="0081605E" w:rsidRDefault="00B57AE1" w:rsidP="00202A71">
      <w:pPr>
        <w:shd w:val="clear" w:color="auto" w:fill="FFFFFF"/>
        <w:spacing w:line="240" w:lineRule="auto"/>
        <w:outlineLvl w:val="0"/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</w:pPr>
    </w:p>
    <w:p w14:paraId="7E72676E" w14:textId="77777777" w:rsidR="00B57AE1" w:rsidRPr="0081605E" w:rsidRDefault="00202A71" w:rsidP="00B57AE1">
      <w:pPr>
        <w:shd w:val="clear" w:color="auto" w:fill="FFFFFF"/>
        <w:spacing w:line="240" w:lineRule="auto"/>
        <w:jc w:val="center"/>
        <w:outlineLvl w:val="0"/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</w:pPr>
      <w:r w:rsidRPr="0081605E"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  <w:t xml:space="preserve">Konsultacje społeczne projektu </w:t>
      </w:r>
    </w:p>
    <w:p w14:paraId="05F6E119" w14:textId="77777777" w:rsidR="00202A71" w:rsidRPr="0081605E" w:rsidRDefault="00202A71" w:rsidP="00B57AE1">
      <w:pPr>
        <w:shd w:val="clear" w:color="auto" w:fill="FFFFFF"/>
        <w:spacing w:line="240" w:lineRule="auto"/>
        <w:jc w:val="center"/>
        <w:outlineLvl w:val="0"/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</w:pPr>
      <w:r w:rsidRPr="0081605E"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  <w:t>pn.: „</w:t>
      </w:r>
      <w:r w:rsidR="0088778A" w:rsidRPr="0081605E">
        <w:rPr>
          <w:rFonts w:ascii="Zilla Slab" w:eastAsia="Times New Roman" w:hAnsi="Zilla Slab" w:cs="Open Sans"/>
          <w:noProof w:val="0"/>
          <w:kern w:val="36"/>
          <w:sz w:val="40"/>
          <w:szCs w:val="40"/>
          <w:lang w:eastAsia="pl-PL"/>
        </w:rPr>
        <w:t>Muzeum w Bóbrce – nowoczesna infrastruktura kultury i integracji społecznej w światowej kolebce przemysłu naftowego”</w:t>
      </w:r>
    </w:p>
    <w:p w14:paraId="6B26328D" w14:textId="77777777" w:rsidR="00B57AE1" w:rsidRPr="0081605E" w:rsidRDefault="00B57AE1" w:rsidP="0088778A">
      <w:pPr>
        <w:shd w:val="clear" w:color="auto" w:fill="FFFFFF"/>
        <w:spacing w:before="240" w:after="300" w:line="240" w:lineRule="auto"/>
        <w:rPr>
          <w:rFonts w:ascii="Open Sans" w:eastAsia="Times New Roman" w:hAnsi="Open Sans" w:cs="Open Sans"/>
          <w:b/>
          <w:bCs/>
          <w:noProof w:val="0"/>
          <w:sz w:val="24"/>
          <w:szCs w:val="24"/>
          <w:lang w:eastAsia="pl-PL"/>
        </w:rPr>
      </w:pPr>
    </w:p>
    <w:p w14:paraId="336E4D73" w14:textId="77777777" w:rsidR="00202A71" w:rsidRPr="0081605E" w:rsidRDefault="0088778A" w:rsidP="00B57AE1">
      <w:pPr>
        <w:shd w:val="clear" w:color="auto" w:fill="FFFFFF"/>
        <w:spacing w:before="240" w:after="300" w:line="240" w:lineRule="auto"/>
        <w:jc w:val="both"/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</w:pPr>
      <w:r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>Fundacja Muzeum Przemysłu Naftowego i Gazowniczego im. Ignacego Łukasiewicza zaprasza</w:t>
      </w:r>
      <w:r w:rsidR="00202A71"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 xml:space="preserve"> do udziału w konsultacjach społecznych projektu pn.: „</w:t>
      </w:r>
      <w:r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>Muzeum w Bóbrce – nowoczesna infrastruktura kultury i integracji społecznej w światowej kolebce przemysłu naftowego</w:t>
      </w:r>
      <w:r w:rsidR="00202A71" w:rsidRPr="0081605E">
        <w:rPr>
          <w:rFonts w:ascii="Calibri" w:eastAsia="Times New Roman" w:hAnsi="Calibri" w:cs="Calibri"/>
          <w:b/>
          <w:bCs/>
          <w:noProof w:val="0"/>
          <w:color w:val="4A4E57"/>
          <w:sz w:val="24"/>
          <w:szCs w:val="24"/>
          <w:lang w:eastAsia="pl-PL"/>
        </w:rPr>
        <w:t>”.</w:t>
      </w:r>
    </w:p>
    <w:p w14:paraId="3148F093" w14:textId="1241EC9F" w:rsidR="006342C9" w:rsidRDefault="006342C9" w:rsidP="00B57AE1">
      <w:pPr>
        <w:shd w:val="clear" w:color="auto" w:fill="FFFFFF"/>
        <w:spacing w:after="300" w:line="240" w:lineRule="auto"/>
        <w:jc w:val="both"/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</w:pPr>
      <w:r w:rsidRPr="006342C9">
        <w:rPr>
          <w:rFonts w:ascii="Calibri" w:eastAsia="Times New Roman" w:hAnsi="Calibri" w:cs="Calibri"/>
          <w:color w:val="4A4E57"/>
          <w:sz w:val="24"/>
          <w:szCs w:val="24"/>
          <w:lang w:eastAsia="pl-PL"/>
        </w:rPr>
        <w:drawing>
          <wp:inline distT="0" distB="0" distL="0" distR="0" wp14:anchorId="12B0177F" wp14:editId="361990AB">
            <wp:extent cx="5760720" cy="4073859"/>
            <wp:effectExtent l="0" t="0" r="0" b="3175"/>
            <wp:docPr id="3" name="Obraz 3" descr="C:\Users\Euroinwestycje\Desktop\Pawilon wizki\Pawilon_Bóbrk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uroinwestycje\Desktop\Pawilon wizki\Pawilon_Bóbrka_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02EE" w14:textId="5472A0A3" w:rsidR="00202A71" w:rsidRPr="0081605E" w:rsidRDefault="009D6DB9" w:rsidP="00B57AE1">
      <w:pPr>
        <w:shd w:val="clear" w:color="auto" w:fill="FFFFFF"/>
        <w:spacing w:after="300" w:line="240" w:lineRule="auto"/>
        <w:jc w:val="both"/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</w:pP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P</w:t>
      </w:r>
      <w:r w:rsidR="00202A7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rojekt „</w:t>
      </w:r>
      <w:r w:rsidR="0088778A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Muzeum w Bóbrce – nowoczesna infrastruktura kultury i integracji społecznej w</w:t>
      </w:r>
      <w:r w:rsidR="00B57AE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 </w:t>
      </w:r>
      <w:r w:rsidR="0088778A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światowej kolebce przemysłu naftowego</w:t>
      </w:r>
      <w:r w:rsidR="00202A7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” powstał w odpowiedzi na nabór wniosków ogłoszony przez Ministerstwo Kultury i Dziedzictwa Narodowego dla Priorytetu FENX.07 Kultura, Działanie FENX.07.01 Infrastruktura kultury i turystyki kulturowej Programu Fundusze Europejskie na Infrastrukturę, Klimat, Środowisko 2021- 2027 (nabór nr </w:t>
      </w:r>
      <w:r w:rsidR="0088778A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FENX.07.01-IP.04-002/25</w:t>
      </w:r>
      <w:r w:rsidR="00202A7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).</w:t>
      </w:r>
    </w:p>
    <w:p w14:paraId="2DE3293F" w14:textId="77777777" w:rsidR="00202A71" w:rsidRPr="0081605E" w:rsidRDefault="00202A71" w:rsidP="00B57AE1">
      <w:pPr>
        <w:shd w:val="clear" w:color="auto" w:fill="FFFFFF"/>
        <w:spacing w:after="300" w:line="240" w:lineRule="auto"/>
        <w:jc w:val="both"/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</w:pP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lastRenderedPageBreak/>
        <w:t xml:space="preserve">Projekt składa się z części inwestycyjnej oraz działań kulturalno-edukacyjnych. Pierwsza część obejmuje prace budowlano-instalacyjne 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polegające na przebudowie i rozbudowie pawilonu wystawienniczo-biurowego Muzeum w Bóbrce. 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W części dotyczącej działalności kulturalno-edukacyjnej zawarto działani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a i funkcje, których realizacja 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przyczyni się do zwiększenia atrakcyjności 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placówki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 w zakresie świadczonych usług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, w tym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 </w:t>
      </w:r>
      <w:r w:rsidR="00B57AE1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 xml:space="preserve">nowoczesnych form prezentacji ekspozycji oraz </w:t>
      </w:r>
      <w:r w:rsidR="00233B7B"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aktywizacji i integracji społecznej</w:t>
      </w:r>
      <w:r w:rsidRPr="0081605E">
        <w:rPr>
          <w:rFonts w:ascii="Calibri" w:eastAsia="Times New Roman" w:hAnsi="Calibri" w:cs="Calibri"/>
          <w:noProof w:val="0"/>
          <w:color w:val="4A4E57"/>
          <w:sz w:val="24"/>
          <w:szCs w:val="24"/>
          <w:lang w:eastAsia="pl-PL"/>
        </w:rPr>
        <w:t>.</w:t>
      </w:r>
    </w:p>
    <w:p w14:paraId="20E722A2" w14:textId="67C86991" w:rsidR="00D70DA9" w:rsidRPr="0081605E" w:rsidRDefault="00627510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Formularz konsultacyjny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dostępny jest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na stronie internetowej Muzeum 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 Bóbrce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 kliknij </w:t>
      </w:r>
      <w:hyperlink r:id="rId8" w:history="1">
        <w:r w:rsidR="00202A71" w:rsidRPr="00606B88">
          <w:rPr>
            <w:rStyle w:val="Hipercze"/>
            <w:rFonts w:eastAsia="Times New Roman" w:cstheme="minorHAnsi"/>
            <w:b/>
            <w:bCs/>
            <w:noProof w:val="0"/>
            <w:sz w:val="24"/>
            <w:szCs w:val="24"/>
            <w:lang w:eastAsia="pl-PL"/>
          </w:rPr>
          <w:t>TUTAJ</w:t>
        </w:r>
      </w:hyperlink>
      <w:r w:rsidR="00D70DA9"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 xml:space="preserve"> </w:t>
      </w:r>
      <w:r w:rsidR="00D70DA9" w:rsidRPr="0081605E">
        <w:rPr>
          <w:rFonts w:eastAsia="Times New Roman" w:cstheme="minorHAnsi"/>
          <w:bCs/>
          <w:noProof w:val="0"/>
          <w:color w:val="4A4E57"/>
          <w:sz w:val="24"/>
          <w:szCs w:val="24"/>
          <w:lang w:eastAsia="pl-PL"/>
        </w:rPr>
        <w:t>oraz</w:t>
      </w:r>
      <w:r w:rsidR="00D70DA9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w wersji online, kliknij </w:t>
      </w:r>
      <w:hyperlink r:id="rId9" w:history="1">
        <w:r w:rsidR="00D70DA9" w:rsidRPr="00E008CB">
          <w:rPr>
            <w:rStyle w:val="Hipercze"/>
            <w:rFonts w:eastAsia="Times New Roman" w:cstheme="minorHAnsi"/>
            <w:b/>
            <w:noProof w:val="0"/>
            <w:sz w:val="24"/>
            <w:szCs w:val="24"/>
            <w:lang w:eastAsia="pl-PL"/>
          </w:rPr>
          <w:t>T</w:t>
        </w:r>
        <w:bookmarkStart w:id="0" w:name="_GoBack"/>
        <w:bookmarkEnd w:id="0"/>
        <w:r w:rsidR="00D70DA9" w:rsidRPr="00E008CB">
          <w:rPr>
            <w:rStyle w:val="Hipercze"/>
            <w:rFonts w:eastAsia="Times New Roman" w:cstheme="minorHAnsi"/>
            <w:b/>
            <w:noProof w:val="0"/>
            <w:sz w:val="24"/>
            <w:szCs w:val="24"/>
            <w:lang w:eastAsia="pl-PL"/>
          </w:rPr>
          <w:t>U</w:t>
        </w:r>
        <w:r w:rsidR="00D70DA9" w:rsidRPr="00E008CB">
          <w:rPr>
            <w:rStyle w:val="Hipercze"/>
            <w:rFonts w:eastAsia="Times New Roman" w:cstheme="minorHAnsi"/>
            <w:b/>
            <w:noProof w:val="0"/>
            <w:sz w:val="24"/>
            <w:szCs w:val="24"/>
            <w:lang w:eastAsia="pl-PL"/>
          </w:rPr>
          <w:t>TAJ</w:t>
        </w:r>
      </w:hyperlink>
    </w:p>
    <w:p w14:paraId="1368150F" w14:textId="44DFAB34" w:rsidR="00B57AE1" w:rsidRPr="0081605E" w:rsidRDefault="00202A71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Konsultacje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przeprowadzan</w:t>
      </w:r>
      <w:r w:rsidR="001A1F67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e będą w dniach </w:t>
      </w:r>
      <w:r w:rsidR="0081605E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4</w:t>
      </w:r>
      <w:r w:rsidR="001818B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- 20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września 2025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r.</w:t>
      </w:r>
    </w:p>
    <w:p w14:paraId="1AFC9221" w14:textId="0543B45B" w:rsidR="00B57AE1" w:rsidRPr="0081605E" w:rsidRDefault="00202A71" w:rsidP="00B57AE1">
      <w:p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Uwagi do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t.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projektu można zgłaszać za pomocą formularza konsultacyjnego w nieprzekraczalnym terminie </w:t>
      </w:r>
      <w:r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do dnia</w:t>
      </w:r>
      <w:r w:rsidR="001818B1"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 xml:space="preserve"> 20</w:t>
      </w:r>
      <w:r w:rsidRPr="0081605E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 xml:space="preserve"> września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2025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r.:</w:t>
      </w:r>
    </w:p>
    <w:p w14:paraId="09177C97" w14:textId="2D36398F" w:rsidR="00D70DA9" w:rsidRPr="0081605E" w:rsidRDefault="00D70DA9" w:rsidP="00D70DA9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automatycznie z wykorzystaniem elektronicznej wersji formularza dostępnej na ww. stronach internetowych,</w:t>
      </w:r>
    </w:p>
    <w:p w14:paraId="667EBFDF" w14:textId="144AE8DC" w:rsidR="00B57AE1" w:rsidRPr="0081605E" w:rsidRDefault="00233B7B" w:rsidP="00D70DA9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na adres e-mail </w:t>
      </w:r>
      <w:hyperlink r:id="rId10" w:history="1">
        <w:r w:rsidR="00B57AE1" w:rsidRPr="0081605E">
          <w:rPr>
            <w:rStyle w:val="Hipercze"/>
            <w:rFonts w:eastAsia="Times New Roman" w:cstheme="minorHAnsi"/>
            <w:noProof w:val="0"/>
            <w:color w:val="4A4E57"/>
            <w:sz w:val="24"/>
            <w:szCs w:val="24"/>
            <w:lang w:eastAsia="pl-PL"/>
          </w:rPr>
          <w:t>muzeum@bobrka.pl</w:t>
        </w:r>
      </w:hyperlink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z wykorzystaniem </w:t>
      </w:r>
      <w:hyperlink r:id="rId11" w:history="1">
        <w:r w:rsidR="00B57AE1" w:rsidRPr="0081605E">
          <w:rPr>
            <w:rFonts w:eastAsia="Times New Roman" w:cstheme="minorHAnsi"/>
            <w:noProof w:val="0"/>
            <w:color w:val="4A4E57"/>
            <w:sz w:val="24"/>
            <w:szCs w:val="24"/>
            <w:lang w:eastAsia="pl-PL"/>
          </w:rPr>
          <w:t xml:space="preserve">elektronicznej wersji </w:t>
        </w:r>
        <w:r w:rsidR="00202A71" w:rsidRPr="0081605E">
          <w:rPr>
            <w:rFonts w:eastAsia="Times New Roman" w:cstheme="minorHAnsi"/>
            <w:noProof w:val="0"/>
            <w:color w:val="4A4E57"/>
            <w:sz w:val="24"/>
            <w:szCs w:val="24"/>
            <w:lang w:eastAsia="pl-PL"/>
          </w:rPr>
          <w:t>formularza</w:t>
        </w:r>
      </w:hyperlink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dostępnej na stronie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internetow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ej</w:t>
      </w:r>
      <w:r w:rsidR="00202A7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</w:t>
      </w:r>
    </w:p>
    <w:p w14:paraId="2793BD95" w14:textId="18D40575" w:rsidR="00202A71" w:rsidRPr="0081605E" w:rsidRDefault="00202A71" w:rsidP="00D70DA9">
      <w:pPr>
        <w:pStyle w:val="Akapitzlist"/>
        <w:numPr>
          <w:ilvl w:val="0"/>
          <w:numId w:val="4"/>
        </w:numPr>
        <w:shd w:val="clear" w:color="auto" w:fill="FFFFFF"/>
        <w:spacing w:after="0" w:line="276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osobiście na adres: 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Muzeum Przemysłu Naftowego i Gazowniczego im. Ignacego Łukasiewicza</w:t>
      </w:r>
      <w:r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), </w:t>
      </w:r>
      <w:r w:rsidR="00B57AE1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ul. Kopalniana 35, Bóbrka, 38 - 458 Chorkówka</w:t>
      </w:r>
      <w:r w:rsidR="00233B7B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.</w:t>
      </w:r>
    </w:p>
    <w:p w14:paraId="69DCC25C" w14:textId="77777777" w:rsidR="00B57AE1" w:rsidRDefault="00B57AE1" w:rsidP="00202A71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</w:p>
    <w:p w14:paraId="523CE7FA" w14:textId="51AAD4B0" w:rsidR="009D6DB9" w:rsidRDefault="009D6DB9" w:rsidP="00202A71">
      <w:pPr>
        <w:shd w:val="clear" w:color="auto" w:fill="FFFFFF"/>
        <w:spacing w:after="300" w:line="240" w:lineRule="auto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  <w:r w:rsidRPr="009D6DB9">
        <w:rPr>
          <w:rFonts w:eastAsia="Times New Roman" w:cstheme="minorHAnsi"/>
          <w:b/>
          <w:bCs/>
          <w:color w:val="4A4E57"/>
          <w:sz w:val="24"/>
          <w:szCs w:val="24"/>
          <w:lang w:eastAsia="pl-PL"/>
        </w:rPr>
        <w:drawing>
          <wp:inline distT="0" distB="0" distL="0" distR="0" wp14:anchorId="572B29D8" wp14:editId="38F53E59">
            <wp:extent cx="5760720" cy="4073859"/>
            <wp:effectExtent l="0" t="0" r="0" b="3175"/>
            <wp:docPr id="4" name="Obraz 4" descr="C:\Users\Euroinwestycje\Desktop\Pawilon wizki\Pawilon_Bóbrk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uroinwestycje\Desktop\Pawilon wizki\Pawilon_Bóbrka_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D06AF" w14:textId="49948EE1" w:rsidR="00633181" w:rsidRDefault="00202A71" w:rsidP="00633181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lastRenderedPageBreak/>
        <w:t>Tytuł projektu: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„</w:t>
      </w:r>
      <w:r w:rsid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Muzeum w Bóbrce -</w:t>
      </w:r>
      <w:r w:rsidR="00633181"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nowoczesna infrastruktura kultury i integracji społecznej w światowej kolebce przemysłu naftowego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”</w:t>
      </w:r>
    </w:p>
    <w:p w14:paraId="64563CB1" w14:textId="2D5AECE9" w:rsidR="00202A71" w:rsidRPr="00B57AE1" w:rsidRDefault="00202A71" w:rsidP="0063318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Wnioskodawca: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</w:t>
      </w:r>
      <w:r w:rsidR="00633181"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Fundacja Muzeum Przemysłu Naftowego 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i Gazowniczego i</w:t>
      </w:r>
      <w:r w:rsidR="00633181"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m. Ignacego Łukasiewicza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br/>
      </w:r>
      <w:r w:rsidRPr="00B57AE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Okres realizacji:</w:t>
      </w:r>
      <w:r w:rsidR="001818B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2025-2028</w:t>
      </w:r>
    </w:p>
    <w:p w14:paraId="5B633953" w14:textId="77777777" w:rsidR="008D4730" w:rsidRPr="00B57AE1" w:rsidRDefault="00202A71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Projekt obejmuje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przebudowę i rozbudowę bud</w:t>
      </w:r>
      <w:r w:rsidR="008D4730" w:rsidRPr="0081605E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yn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ku pawilonu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muzealnego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o now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ą część, tj.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budynek wielofunkcyjny z kas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ą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biletową, połączony przewiązka z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istniejącą 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częścią administracyjną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oraz ekspozycyjno-konferencyjną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. W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</w:t>
      </w:r>
      <w:r w:rsidR="008D4730"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dobudowanej części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zabezpieczającej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ruch zwiedzających,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zostały zaprojektowane: 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kas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y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biletow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, 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pomieszczenia 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ochrony i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monitoringu obiektów, sklepik z pamiątkami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 hall pełniący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rolę poczekalni oraz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pok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ój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do pielęgnacji i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 wyciszenia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(parter)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, winda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osobow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na poziom przyziemia, gdzie umieszczono przestronne zaplecze s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anitarne dla zwiedzających, pomieszczenie</w:t>
      </w:r>
      <w:r w:rsidR="00054F6F"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porządkowe oraz pomieszczenia techniczne i magazyny.</w:t>
      </w:r>
    </w:p>
    <w:p w14:paraId="089B1BFE" w14:textId="20031ECD" w:rsidR="008D4730" w:rsidRPr="00B57AE1" w:rsidRDefault="008D4730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 zakresie robót zewnętrznych projekt obejmuje niezbędne prace w t</w:t>
      </w:r>
      <w:r w:rsidR="002D767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erenie związane z 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rozbudową obiektu, korekt</w:t>
      </w:r>
      <w:r w:rsidR="000720EB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ę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otoczenia, nowy układ placów i ścieżek przed pawilonem, przestrzeń na wypoczynek.</w:t>
      </w:r>
    </w:p>
    <w:p w14:paraId="418D95E5" w14:textId="38205C69" w:rsidR="002D7677" w:rsidRPr="001A1F67" w:rsidRDefault="002D7677" w:rsidP="002D7677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Ze względu na zły stan techniczny budynku planowana jest modernizacja istniejącej części pawilonu obejmująca wzmocnienia fundamentów budynku, dostosowanie go do nowych wymagań technicznych, w tym izolacyjności cieplne</w:t>
      </w:r>
      <w:r w:rsidR="000720EB"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j</w:t>
      </w: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oraz kompleksowej przebudowy dachu (wymiany konstrukcji dachu wraz z poszyciem). </w:t>
      </w:r>
      <w:r w:rsidR="00203E14"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Projekt obejmuje </w:t>
      </w: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szereg prac związanych </w:t>
      </w:r>
      <w:r w:rsidRPr="00CB0137">
        <w:rPr>
          <w:color w:val="4A4E57"/>
          <w:sz w:val="24"/>
          <w:szCs w:val="24"/>
        </w:rPr>
        <w:t>z</w:t>
      </w:r>
      <w:r w:rsidR="001A1F67" w:rsidRPr="00CB0137">
        <w:rPr>
          <w:color w:val="4A4E57"/>
          <w:sz w:val="24"/>
          <w:szCs w:val="24"/>
        </w:rPr>
        <w:t> </w:t>
      </w:r>
      <w:r w:rsidRPr="00CB0137">
        <w:rPr>
          <w:color w:val="4A4E57"/>
          <w:sz w:val="24"/>
          <w:szCs w:val="24"/>
        </w:rPr>
        <w:t>dostosowaniem</w:t>
      </w:r>
      <w:r w:rsidRPr="00CB013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budynku </w:t>
      </w:r>
      <w:r w:rsidRP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do nowych przepisów, w tym pożarowych. W związku z pracami przy wzmocnieniu fundamentów założono wymianę podbudowy i posadzek, wymianę kompletu instalacji wewnętrznych, a także wystroju wnętrz.</w:t>
      </w:r>
    </w:p>
    <w:p w14:paraId="6FBC5BFD" w14:textId="37D7D113" w:rsidR="00203E14" w:rsidRDefault="00203E14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Ponadto projekt obejmuje </w:t>
      </w:r>
      <w:r w:rsid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modernizację</w:t>
      </w: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istniejących i montaż nowych ekspozycji interdyscyplinarnych i multimedialnych na terenie skansenu.</w:t>
      </w:r>
    </w:p>
    <w:p w14:paraId="2821E509" w14:textId="77777777" w:rsidR="00202A71" w:rsidRPr="00B57AE1" w:rsidRDefault="00202A71" w:rsidP="00B57AE1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W wyniku realizacji </w:t>
      </w:r>
      <w:r w:rsidR="00203E14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projektu </w:t>
      </w:r>
      <w:r w:rsidRPr="00B57AE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powstanie nowoczesny kompleks multifunkcjonalny umożliwiający prowadzenie szeregu aktywności przez różne grupy wiekowe i społeczne. Lokalizacje obiektów objętych inwestycją oraz ich wizualizacje przedstawiono na załączonych rysunkach.</w:t>
      </w:r>
    </w:p>
    <w:p w14:paraId="375C41F1" w14:textId="77777777" w:rsidR="00203E14" w:rsidRDefault="00203E14" w:rsidP="00203E14">
      <w:p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203E14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Planowany projekt zakłada utworzenie przestrzeni kulturalnej, obejmujący </w:t>
      </w:r>
      <w:r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nową aranżację wnętrz pozwalającą w nowoczesny sposób przedstawić historię i obecne znaczenie ropy naftowej i gazu.</w:t>
      </w:r>
    </w:p>
    <w:p w14:paraId="695A92D0" w14:textId="5A81165E" w:rsidR="00202A71" w:rsidRPr="00054F6F" w:rsidRDefault="00202A71" w:rsidP="00054F6F">
      <w:pPr>
        <w:shd w:val="clear" w:color="auto" w:fill="FFFFFF"/>
        <w:spacing w:after="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Celem projektu jest utworzenie odpowiednich warunków infrastrukturalnych sprzyjających aktywnemu uczestniczeniu w kulturze i w życiu społecznym. W wyniku inwestycji 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Muzeum będzie pełnić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funkcję wystawiennicz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o-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edukacyjn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ą, 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warsztatową oraz </w:t>
      </w:r>
      <w:r w:rsid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integracyjną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. Projekt zapewni powstanie nowoczesnej infrastruktury kultury, odpowiadającej na potrzeby współczesnych odbiorców, zapewniającej użytkownikom komfortowe i bezpieczne warunki </w:t>
      </w:r>
      <w:r w:rsidRPr="00054F6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lastRenderedPageBreak/>
        <w:t>korzystania z oferty, sprzyjającej włączeniu społecznemu i edukacji kulturalnej, również poprzez eliminację barier w dostępie do kultury dla osób ze szczególnymi potrzebami.</w:t>
      </w:r>
    </w:p>
    <w:p w14:paraId="52BF34B7" w14:textId="77777777" w:rsidR="00633181" w:rsidRPr="00054F6F" w:rsidRDefault="00633181" w:rsidP="00202A71">
      <w:pPr>
        <w:shd w:val="clear" w:color="auto" w:fill="FFFFFF"/>
        <w:spacing w:after="300" w:line="240" w:lineRule="auto"/>
        <w:rPr>
          <w:rFonts w:eastAsia="Times New Roman" w:cstheme="minorHAnsi"/>
          <w:color w:val="4A4E57"/>
          <w:sz w:val="24"/>
          <w:szCs w:val="24"/>
          <w:lang w:eastAsia="pl-PL"/>
        </w:rPr>
      </w:pPr>
    </w:p>
    <w:p w14:paraId="0C5633B0" w14:textId="77777777" w:rsidR="00633181" w:rsidRDefault="00202A71" w:rsidP="00633181">
      <w:pPr>
        <w:shd w:val="clear" w:color="auto" w:fill="FFFFFF"/>
        <w:spacing w:after="300" w:line="240" w:lineRule="auto"/>
        <w:jc w:val="both"/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b/>
          <w:bCs/>
          <w:noProof w:val="0"/>
          <w:color w:val="4A4E57"/>
          <w:sz w:val="24"/>
          <w:szCs w:val="24"/>
          <w:lang w:eastAsia="pl-PL"/>
        </w:rPr>
        <w:t>Zakres działań nieinwestycyjnych będzie obejmował popularyzację oferty kulturalno-edukacyjnej poprzez:</w:t>
      </w:r>
    </w:p>
    <w:p w14:paraId="6209AD4B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wydarzenia kulturalno-edukacyjne, w tym podnoszące świadomość ekologiczną społeczeństwa;</w:t>
      </w:r>
    </w:p>
    <w:p w14:paraId="284A0597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warsztaty i spotkania edukacyjne;</w:t>
      </w:r>
    </w:p>
    <w:p w14:paraId="3AC5488C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konferencje tematyczne o charakterze biznesowym i naukowym, w tym on-line;</w:t>
      </w:r>
    </w:p>
    <w:p w14:paraId="3D7D02C5" w14:textId="77777777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wystawy, prezentacje i inscenizacje muzealne;</w:t>
      </w:r>
    </w:p>
    <w:p w14:paraId="7FE00638" w14:textId="11DD91F5" w:rsid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działania związane z wdrażaniem program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u podnoszeni</w:t>
      </w:r>
      <w:r w:rsidR="00EF5A3F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a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kompetencji kadr;</w:t>
      </w:r>
    </w:p>
    <w:p w14:paraId="505B9D8F" w14:textId="3B302785" w:rsidR="00202A71" w:rsidRPr="00633181" w:rsidRDefault="00202A71" w:rsidP="00633181">
      <w:pPr>
        <w:pStyle w:val="Akapitzlist"/>
        <w:numPr>
          <w:ilvl w:val="0"/>
          <w:numId w:val="3"/>
        </w:numPr>
        <w:shd w:val="clear" w:color="auto" w:fill="FFFFFF"/>
        <w:spacing w:after="300" w:line="240" w:lineRule="auto"/>
        <w:jc w:val="both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digitalizacj</w:t>
      </w:r>
      <w:r w:rsidR="001A1F67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ę</w:t>
      </w: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 zabytków </w:t>
      </w:r>
      <w:r w:rsid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 xml:space="preserve">i </w:t>
      </w: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muzealiów oraz ich udostępnienie on-line.</w:t>
      </w:r>
    </w:p>
    <w:p w14:paraId="65B863AB" w14:textId="77777777" w:rsidR="00633181" w:rsidRPr="00633181" w:rsidRDefault="00202A71" w:rsidP="00633181">
      <w:pPr>
        <w:shd w:val="clear" w:color="auto" w:fill="FFFFFF"/>
        <w:spacing w:after="240" w:line="240" w:lineRule="auto"/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noProof w:val="0"/>
          <w:color w:val="4A4E57"/>
          <w:sz w:val="24"/>
          <w:szCs w:val="24"/>
          <w:lang w:eastAsia="pl-PL"/>
        </w:rPr>
        <w:t>Będziemy wdzięczni za Państwa głos i każdy wypełniony formularz.</w:t>
      </w:r>
    </w:p>
    <w:p w14:paraId="6DD48676" w14:textId="77777777" w:rsidR="00202A71" w:rsidRPr="00633181" w:rsidRDefault="00633181" w:rsidP="00633181">
      <w:pPr>
        <w:shd w:val="clear" w:color="auto" w:fill="FFFFFF"/>
        <w:spacing w:after="240" w:line="240" w:lineRule="auto"/>
        <w:rPr>
          <w:rFonts w:eastAsia="Times New Roman" w:cstheme="minorHAnsi"/>
          <w:b/>
          <w:noProof w:val="0"/>
          <w:color w:val="4A4E57"/>
          <w:sz w:val="24"/>
          <w:szCs w:val="24"/>
          <w:lang w:eastAsia="pl-PL"/>
        </w:rPr>
      </w:pPr>
      <w:r w:rsidRPr="00633181">
        <w:rPr>
          <w:rFonts w:eastAsia="Times New Roman" w:cstheme="minorHAnsi"/>
          <w:b/>
          <w:noProof w:val="0"/>
          <w:color w:val="4A4E57"/>
          <w:sz w:val="24"/>
          <w:szCs w:val="24"/>
          <w:lang w:eastAsia="pl-PL"/>
        </w:rPr>
        <w:t>Muzeum Przemysłu Naftowego i Gazowniczego im. Ignacego Łukasiewicza</w:t>
      </w:r>
      <w:r w:rsidRPr="00633181">
        <w:rPr>
          <w:rFonts w:eastAsia="Times New Roman" w:cstheme="minorHAnsi"/>
          <w:b/>
          <w:noProof w:val="0"/>
          <w:color w:val="4A4E57"/>
          <w:sz w:val="24"/>
          <w:szCs w:val="24"/>
          <w:lang w:eastAsia="pl-PL"/>
        </w:rPr>
        <w:br/>
      </w:r>
    </w:p>
    <w:p w14:paraId="0D3759ED" w14:textId="298AE8FF" w:rsidR="00C16A9F" w:rsidRDefault="006342C9" w:rsidP="003E5AC3">
      <w:pPr>
        <w:jc w:val="center"/>
      </w:pPr>
      <w:r w:rsidRPr="006342C9">
        <w:rPr>
          <w:lang w:eastAsia="pl-PL"/>
        </w:rPr>
        <w:drawing>
          <wp:inline distT="0" distB="0" distL="0" distR="0" wp14:anchorId="5813DC61" wp14:editId="17A1B27C">
            <wp:extent cx="5760720" cy="4073859"/>
            <wp:effectExtent l="0" t="0" r="0" b="3175"/>
            <wp:docPr id="2" name="Obraz 2" descr="C:\Users\Euroinwestycje\Desktop\Pawilon wizki\Pawilon_Bóbrka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uroinwestycje\Desktop\Pawilon wizki\Pawilon_Bóbrka_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A9F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D66FDE" w14:textId="77777777" w:rsidR="0061102F" w:rsidRDefault="0061102F" w:rsidP="008D4730">
      <w:pPr>
        <w:spacing w:after="0" w:line="240" w:lineRule="auto"/>
      </w:pPr>
      <w:r>
        <w:separator/>
      </w:r>
    </w:p>
  </w:endnote>
  <w:endnote w:type="continuationSeparator" w:id="0">
    <w:p w14:paraId="5D986C8F" w14:textId="77777777" w:rsidR="0061102F" w:rsidRDefault="0061102F" w:rsidP="008D4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Zilla Slab">
    <w:altName w:val="Times New Roman"/>
    <w:panose1 w:val="00000000000000000000"/>
    <w:charset w:val="00"/>
    <w:family w:val="roman"/>
    <w:notTrueType/>
    <w:pitch w:val="default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77EEE3" w14:textId="77777777" w:rsidR="0061102F" w:rsidRDefault="0061102F" w:rsidP="008D4730">
      <w:pPr>
        <w:spacing w:after="0" w:line="240" w:lineRule="auto"/>
      </w:pPr>
      <w:r>
        <w:separator/>
      </w:r>
    </w:p>
  </w:footnote>
  <w:footnote w:type="continuationSeparator" w:id="0">
    <w:p w14:paraId="0B1B9B39" w14:textId="77777777" w:rsidR="0061102F" w:rsidRDefault="0061102F" w:rsidP="008D4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7096CF" w14:textId="77777777" w:rsidR="008D4730" w:rsidRDefault="008D4730" w:rsidP="008D4730">
    <w:pPr>
      <w:pStyle w:val="Nagwek"/>
      <w:jc w:val="center"/>
    </w:pPr>
    <w:r>
      <w:rPr>
        <w:lang w:eastAsia="pl-PL"/>
      </w:rPr>
      <w:drawing>
        <wp:inline distT="0" distB="0" distL="0" distR="0" wp14:anchorId="25D82DDB" wp14:editId="7163E261">
          <wp:extent cx="5637354" cy="804545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4876" cy="8084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E7703"/>
    <w:multiLevelType w:val="hybridMultilevel"/>
    <w:tmpl w:val="F2B257B2"/>
    <w:lvl w:ilvl="0" w:tplc="2A86B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85BA4"/>
    <w:multiLevelType w:val="hybridMultilevel"/>
    <w:tmpl w:val="B4DE303C"/>
    <w:lvl w:ilvl="0" w:tplc="2A86BA6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1AC034C"/>
    <w:multiLevelType w:val="multilevel"/>
    <w:tmpl w:val="4EF80A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AE1DBA"/>
    <w:multiLevelType w:val="hybridMultilevel"/>
    <w:tmpl w:val="3FDEB68C"/>
    <w:lvl w:ilvl="0" w:tplc="2A86BA6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0394"/>
    <w:rsid w:val="00053F6E"/>
    <w:rsid w:val="00054F6F"/>
    <w:rsid w:val="000720EB"/>
    <w:rsid w:val="000B31B1"/>
    <w:rsid w:val="001818B1"/>
    <w:rsid w:val="001A1F67"/>
    <w:rsid w:val="00202A71"/>
    <w:rsid w:val="00203E14"/>
    <w:rsid w:val="00233B7B"/>
    <w:rsid w:val="002D7677"/>
    <w:rsid w:val="00333461"/>
    <w:rsid w:val="003E5AC3"/>
    <w:rsid w:val="00413CC2"/>
    <w:rsid w:val="005A2CB3"/>
    <w:rsid w:val="00606B88"/>
    <w:rsid w:val="0061102F"/>
    <w:rsid w:val="00627510"/>
    <w:rsid w:val="00633181"/>
    <w:rsid w:val="006342C9"/>
    <w:rsid w:val="00737FA4"/>
    <w:rsid w:val="007F1FE0"/>
    <w:rsid w:val="0081605E"/>
    <w:rsid w:val="0088778A"/>
    <w:rsid w:val="008A51B2"/>
    <w:rsid w:val="008D4730"/>
    <w:rsid w:val="009D6DB9"/>
    <w:rsid w:val="009E0394"/>
    <w:rsid w:val="00B245B9"/>
    <w:rsid w:val="00B4036E"/>
    <w:rsid w:val="00B57AE1"/>
    <w:rsid w:val="00B875D8"/>
    <w:rsid w:val="00C16A9F"/>
    <w:rsid w:val="00C85FBE"/>
    <w:rsid w:val="00CB0137"/>
    <w:rsid w:val="00D70DA9"/>
    <w:rsid w:val="00E008CB"/>
    <w:rsid w:val="00EB68CE"/>
    <w:rsid w:val="00EF5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D58499"/>
  <w15:chartTrackingRefBased/>
  <w15:docId w15:val="{B67778DD-3B29-4553-AF91-64F2456DC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noProof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D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D4730"/>
    <w:rPr>
      <w:noProof/>
    </w:rPr>
  </w:style>
  <w:style w:type="paragraph" w:styleId="Stopka">
    <w:name w:val="footer"/>
    <w:basedOn w:val="Normalny"/>
    <w:link w:val="StopkaZnak"/>
    <w:uiPriority w:val="99"/>
    <w:unhideWhenUsed/>
    <w:rsid w:val="008D4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D4730"/>
    <w:rPr>
      <w:noProof/>
    </w:rPr>
  </w:style>
  <w:style w:type="character" w:styleId="Hipercze">
    <w:name w:val="Hyperlink"/>
    <w:basedOn w:val="Domylnaczcionkaakapitu"/>
    <w:uiPriority w:val="99"/>
    <w:unhideWhenUsed/>
    <w:rsid w:val="00B57AE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633181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06B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59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24322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0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1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557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83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7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31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28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e/1FAIpQLSe0JR7-LjjLVeB-9L8XMlgaXE8DqXUMveHPc9VHszyIW3IMPg/viewform" TargetMode="Externa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forms.gle/b4MGFrwuGL9J6jxs9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mailto:muzeum@bobrka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brka.pl/wp-content/uploads/2025/09/Formularz-konsultacji-spolecznych.docx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4</Pages>
  <Words>828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Euroinwestycje</dc:creator>
  <cp:keywords/>
  <dc:description/>
  <cp:lastModifiedBy>Admin</cp:lastModifiedBy>
  <cp:revision>16</cp:revision>
  <cp:lastPrinted>2025-09-03T12:52:00Z</cp:lastPrinted>
  <dcterms:created xsi:type="dcterms:W3CDTF">2025-08-26T09:11:00Z</dcterms:created>
  <dcterms:modified xsi:type="dcterms:W3CDTF">2025-09-04T11:26:00Z</dcterms:modified>
</cp:coreProperties>
</file>